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FC87" w14:textId="77777777" w:rsidR="00F7021A" w:rsidRDefault="00F7021A">
      <w:r>
        <w:separator/>
      </w:r>
    </w:p>
  </w:endnote>
  <w:endnote w:type="continuationSeparator" w:id="0">
    <w:p w14:paraId="1FA9B2C0" w14:textId="77777777" w:rsidR="00F7021A" w:rsidRDefault="00F7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C955" w14:textId="77777777" w:rsidR="00F7021A" w:rsidRDefault="00F7021A">
      <w:r>
        <w:separator/>
      </w:r>
    </w:p>
  </w:footnote>
  <w:footnote w:type="continuationSeparator" w:id="0">
    <w:p w14:paraId="7BCEB9F6" w14:textId="77777777" w:rsidR="00F7021A" w:rsidRDefault="00F7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6A25FB5C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proofErr w:type="spellStart"/>
          <w:r w:rsidR="00D9723D" w:rsidRPr="00D9723D">
            <w:rPr>
              <w:bCs/>
              <w:sz w:val="20"/>
            </w:rPr>
            <w:t>prCWA</w:t>
          </w:r>
          <w:proofErr w:type="spellEnd"/>
          <w:r w:rsidR="00D9723D" w:rsidRPr="00D9723D">
            <w:rPr>
              <w:bCs/>
              <w:sz w:val="20"/>
            </w:rPr>
            <w:t xml:space="preserve"> “</w:t>
          </w:r>
          <w:r w:rsidR="00D9723D" w:rsidRPr="00D9723D">
            <w:rPr>
              <w:bCs/>
              <w:sz w:val="20"/>
            </w:rPr>
            <w:t>Reference driving cycle for off-road electric vehicles</w:t>
          </w:r>
          <w:r w:rsidR="00D9723D" w:rsidRPr="00D9723D">
            <w:rPr>
              <w:bCs/>
              <w:sz w:val="20"/>
            </w:rPr>
            <w:t>”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3C6630F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9D4FB4">
            <w:rPr>
              <w:bCs/>
              <w:sz w:val="20"/>
            </w:rPr>
            <w:t xml:space="preserve"> CLC/WS BATTS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3E3FB1"/>
    <w:rsid w:val="004C6E8C"/>
    <w:rsid w:val="00540C31"/>
    <w:rsid w:val="007C653C"/>
    <w:rsid w:val="007E2E99"/>
    <w:rsid w:val="00926EE9"/>
    <w:rsid w:val="00957F0F"/>
    <w:rsid w:val="009D12C7"/>
    <w:rsid w:val="009D4FB4"/>
    <w:rsid w:val="00A16159"/>
    <w:rsid w:val="00A63938"/>
    <w:rsid w:val="00A64E75"/>
    <w:rsid w:val="00AE60D1"/>
    <w:rsid w:val="00AF7C69"/>
    <w:rsid w:val="00B0714A"/>
    <w:rsid w:val="00BD0A5F"/>
    <w:rsid w:val="00BF6B60"/>
    <w:rsid w:val="00C90982"/>
    <w:rsid w:val="00D25C2E"/>
    <w:rsid w:val="00D52A35"/>
    <w:rsid w:val="00D74D95"/>
    <w:rsid w:val="00D9723D"/>
    <w:rsid w:val="00EC5739"/>
    <w:rsid w:val="00F23E21"/>
    <w:rsid w:val="00F609F5"/>
    <w:rsid w:val="00F7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Van Thielen Claire</cp:lastModifiedBy>
  <cp:revision>4</cp:revision>
  <cp:lastPrinted>2001-10-25T12:04:00Z</cp:lastPrinted>
  <dcterms:created xsi:type="dcterms:W3CDTF">2023-11-30T11:11:00Z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